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82" w:rsidRDefault="00B65509">
      <w:pPr>
        <w:ind w:right="-942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TERMO DE REFERÊNCIA</w:t>
      </w:r>
    </w:p>
    <w:p w:rsidR="00DF3E82" w:rsidRDefault="00DF3E82">
      <w:pPr>
        <w:ind w:right="-942"/>
        <w:jc w:val="center"/>
        <w:rPr>
          <w:sz w:val="24"/>
          <w:szCs w:val="24"/>
        </w:rPr>
      </w:pPr>
    </w:p>
    <w:p w:rsidR="00DF3E82" w:rsidRDefault="00B65509">
      <w:pPr>
        <w:rPr>
          <w:sz w:val="24"/>
          <w:szCs w:val="24"/>
        </w:rPr>
      </w:pPr>
      <w:r>
        <w:rPr>
          <w:sz w:val="24"/>
          <w:szCs w:val="24"/>
        </w:rPr>
        <w:t>1) OBJETO</w:t>
      </w:r>
    </w:p>
    <w:p w:rsidR="00DF3E82" w:rsidRDefault="00B65509">
      <w:pPr>
        <w:jc w:val="both"/>
        <w:rPr>
          <w:sz w:val="24"/>
          <w:szCs w:val="24"/>
        </w:rPr>
      </w:pPr>
      <w:r>
        <w:rPr>
          <w:sz w:val="24"/>
          <w:szCs w:val="24"/>
        </w:rPr>
        <w:t>Aquisição de dez estantes de aço, conforme descrição abaixo:</w:t>
      </w:r>
    </w:p>
    <w:p w:rsidR="00DF3E82" w:rsidRDefault="00DF3E82">
      <w:pPr>
        <w:jc w:val="both"/>
        <w:rPr>
          <w:sz w:val="24"/>
          <w:szCs w:val="24"/>
        </w:rPr>
      </w:pPr>
    </w:p>
    <w:p w:rsidR="00DF3E82" w:rsidRDefault="00B65509">
      <w:pPr>
        <w:jc w:val="both"/>
        <w:rPr>
          <w:sz w:val="24"/>
          <w:szCs w:val="24"/>
        </w:rPr>
      </w:pPr>
      <w:r>
        <w:rPr>
          <w:sz w:val="24"/>
          <w:szCs w:val="24"/>
          <w:lang w:eastAsia="pt-BR"/>
        </w:rPr>
        <w:t>- estantes de aço, medindo 2,00 x 0,92 x 0,30 m (altura x largura x profundidade), contendo 7 (sete) prateleiras reguláveis, sendo estas confeccionadas em chapa de aço número 22 (vinte e dois) com reforço na parte inferior, e as cantoneiras em chapa de aço</w:t>
      </w:r>
      <w:r>
        <w:rPr>
          <w:sz w:val="24"/>
          <w:szCs w:val="24"/>
          <w:lang w:eastAsia="pt-BR"/>
        </w:rPr>
        <w:t xml:space="preserve"> dobrada, abas nas dimensões de 1 ½” x 2”, em chapa de aço número 14 (quatorze), com dupla fileira de furos oblongos medindo 8 mm x 20 mm, na face de maior largura, e uma fileira de furos oblongos medindo 8 mm x 20 mm, na face menor. As prateleiras devem g</w:t>
      </w:r>
      <w:r>
        <w:rPr>
          <w:sz w:val="24"/>
          <w:szCs w:val="24"/>
          <w:lang w:eastAsia="pt-BR"/>
        </w:rPr>
        <w:t>uardar uma distância (vão livre) de 29 cm uma da outra, instaladas de cima para baixo. A estante deverá, ainda, possuir travamento em “x” nos fundos e nas laterais, com orifícios oblongos nas extremidades, medindo 8 mm x 20 mm, em chapa de aço nº 16 (dezes</w:t>
      </w:r>
      <w:r>
        <w:rPr>
          <w:sz w:val="24"/>
          <w:szCs w:val="24"/>
          <w:lang w:eastAsia="pt-BR"/>
        </w:rPr>
        <w:t>seis).Todas as peças deverão receber tratamento em pintura mediante processo químico, com desengraxante fosfatizado, pintura com tinta em pó à base de resina híbrida epóxi-poliéster, curada em estufa, na cor bege ou cinza. Tolerância dimensões: 1 cm para m</w:t>
      </w:r>
      <w:r>
        <w:rPr>
          <w:sz w:val="24"/>
          <w:szCs w:val="24"/>
          <w:lang w:eastAsia="pt-BR"/>
        </w:rPr>
        <w:t xml:space="preserve">ais ou para menos, na altura, largura e profundidade. </w:t>
      </w:r>
    </w:p>
    <w:p w:rsidR="00DF3E82" w:rsidRDefault="00DF3E82">
      <w:pPr>
        <w:jc w:val="both"/>
        <w:rPr>
          <w:sz w:val="24"/>
          <w:szCs w:val="24"/>
          <w:lang w:eastAsia="pt-BR"/>
        </w:rPr>
      </w:pPr>
    </w:p>
    <w:p w:rsidR="00DF3E82" w:rsidRDefault="00B6550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2) JUSTIFICATIVA </w:t>
      </w:r>
    </w:p>
    <w:p w:rsidR="00DF3E82" w:rsidRDefault="00B6550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Atender a demanda desta Seccional visando complementar o quantitativo disponibilizado para as unidades em função do crescimento de processos enviados ao arquivo judicial, bem como re</w:t>
      </w:r>
      <w:r>
        <w:rPr>
          <w:bCs/>
          <w:sz w:val="24"/>
          <w:szCs w:val="24"/>
        </w:rPr>
        <w:t>por estantes danificadas pelo tempo de uso, sem condição de reparo.</w:t>
      </w:r>
    </w:p>
    <w:p w:rsidR="00DF3E82" w:rsidRDefault="00DF3E82">
      <w:pPr>
        <w:jc w:val="both"/>
        <w:rPr>
          <w:sz w:val="24"/>
          <w:szCs w:val="24"/>
        </w:rPr>
      </w:pP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>3) GARANTIA</w:t>
      </w: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>O mobiliário a ser fornecido deverá ser coberto por garantia integral, sem ônus para a Contratante, pelo período mínimo de doze meses, contados a partir do recebimento definit</w:t>
      </w:r>
      <w:r>
        <w:rPr>
          <w:szCs w:val="24"/>
        </w:rPr>
        <w:t>ivo.</w:t>
      </w:r>
    </w:p>
    <w:p w:rsidR="00DF3E82" w:rsidRDefault="00DF3E82">
      <w:pPr>
        <w:pStyle w:val="Corpodetexto3"/>
        <w:rPr>
          <w:szCs w:val="24"/>
        </w:rPr>
      </w:pP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>4) CONDIÇÕES DE ENTREGA E RECEBIMENTO DO OBJETO</w:t>
      </w: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>4.1. O objeto deverá ser entregue, a expensas do licitante adjudicado, em data e horário previamente ajustado com o responsável da Seção de Administração de Patrimônio desta Seccional - tel. 31-3501-125</w:t>
      </w:r>
      <w:r>
        <w:rPr>
          <w:szCs w:val="24"/>
        </w:rPr>
        <w:t>1 / e-mail:sepat.mg@trf1.jus.br.</w:t>
      </w:r>
    </w:p>
    <w:p w:rsidR="00DF3E82" w:rsidRDefault="00B655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O prazo máximo para entrega e montagem das estantes de aço é de 10 (dez) dias corridos, contados do recebimento da ordem de fornecimento. </w:t>
      </w:r>
    </w:p>
    <w:p w:rsidR="00DF3E82" w:rsidRDefault="00B65509">
      <w:pPr>
        <w:pStyle w:val="Corpodetexto3"/>
        <w:spacing w:before="120"/>
        <w:rPr>
          <w:szCs w:val="24"/>
        </w:rPr>
      </w:pPr>
      <w:r>
        <w:rPr>
          <w:szCs w:val="24"/>
        </w:rPr>
        <w:t>4.3. O objeto será recebido, inicialmente, em caráter provisório; o recebimento</w:t>
      </w:r>
      <w:r>
        <w:rPr>
          <w:szCs w:val="24"/>
        </w:rPr>
        <w:t xml:space="preserve"> definitivo será feito após a verificação da conformidade com as especificações do edital, no prazo máximo de 2 dias úteis, contados da conclusão da montagem e instalação.</w:t>
      </w:r>
    </w:p>
    <w:p w:rsidR="00DF3E82" w:rsidRDefault="00B65509">
      <w:pPr>
        <w:pStyle w:val="Corpodetexto3"/>
        <w:spacing w:before="120"/>
        <w:rPr>
          <w:szCs w:val="24"/>
        </w:rPr>
      </w:pPr>
      <w:r>
        <w:rPr>
          <w:szCs w:val="24"/>
        </w:rPr>
        <w:t xml:space="preserve">4.4. O objeto será recusado se </w:t>
      </w:r>
      <w:r>
        <w:rPr>
          <w:color w:val="000000"/>
          <w:szCs w:val="24"/>
        </w:rPr>
        <w:t xml:space="preserve">não atender ao edital, devendo ser adequado no prazo </w:t>
      </w:r>
      <w:r>
        <w:rPr>
          <w:szCs w:val="24"/>
        </w:rPr>
        <w:t>máximo de cinco dias úteis a contar da recusa, sem ônus para a Justiça Federal e sem</w:t>
      </w:r>
      <w:r>
        <w:rPr>
          <w:color w:val="000000"/>
          <w:szCs w:val="24"/>
        </w:rPr>
        <w:t xml:space="preserve"> prejuízo das sanções cabíveis.</w:t>
      </w:r>
    </w:p>
    <w:p w:rsidR="00DF3E82" w:rsidRDefault="00DF3E82">
      <w:pPr>
        <w:pStyle w:val="Corpodetexto3"/>
        <w:rPr>
          <w:szCs w:val="24"/>
        </w:rPr>
      </w:pPr>
    </w:p>
    <w:p w:rsidR="00DF3E82" w:rsidRDefault="00B65509">
      <w:pPr>
        <w:jc w:val="both"/>
        <w:rPr>
          <w:sz w:val="24"/>
          <w:szCs w:val="24"/>
        </w:rPr>
      </w:pPr>
      <w:r>
        <w:rPr>
          <w:sz w:val="24"/>
          <w:szCs w:val="24"/>
        </w:rPr>
        <w:t>5) PAGAMENTO</w:t>
      </w:r>
    </w:p>
    <w:p w:rsidR="00DF3E82" w:rsidRDefault="00B65509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O pagamento será feito pela Justiça Federal em até cinco dias úteis, para valor inferior ou igual a </w:t>
      </w:r>
      <w:r>
        <w:rPr>
          <w:color w:val="FF0000"/>
          <w:sz w:val="24"/>
          <w:szCs w:val="24"/>
        </w:rPr>
        <w:t>R$ 17.600,00</w:t>
      </w:r>
      <w:r>
        <w:rPr>
          <w:sz w:val="24"/>
          <w:szCs w:val="24"/>
        </w:rPr>
        <w:t>, ou em a</w:t>
      </w:r>
      <w:r>
        <w:rPr>
          <w:sz w:val="24"/>
          <w:szCs w:val="24"/>
        </w:rPr>
        <w:t>té dez dias úteis, para valor superior. O prazo será contado da aceitação/atesto da nota fiscal fatura, emitida sem incorreções e conforme a nota de empenho.</w:t>
      </w:r>
    </w:p>
    <w:p w:rsidR="00DF3E82" w:rsidRDefault="00B65509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5.2. O pagamento será creditado em nome da contratada, em conta corrente indicada por ela, ou medi</w:t>
      </w:r>
      <w:r>
        <w:rPr>
          <w:sz w:val="24"/>
          <w:szCs w:val="24"/>
        </w:rPr>
        <w:t>ante ordem bancária para pagamento de faturas com código de barras, uma vez satisfeitas as condições estabelecidas no edital.</w:t>
      </w:r>
    </w:p>
    <w:p w:rsidR="00DF3E82" w:rsidRDefault="00B65509">
      <w:pPr>
        <w:pStyle w:val="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5.3. O valor pago fora do prazo será corrigido pro rata die, considerando-se o período entre a data final prevista para o pagament</w:t>
      </w:r>
      <w:r>
        <w:rPr>
          <w:sz w:val="24"/>
          <w:szCs w:val="24"/>
        </w:rPr>
        <w:t>o e a de sua efetivação, com base em índice publicado pela Fundação Getúlio Vargas que represente o menor valor acumulado no período, desde que a contratada não tenha sido responsável no todo ou em parte pelo atraso no pagamento.</w:t>
      </w:r>
    </w:p>
    <w:p w:rsidR="00DF3E82" w:rsidRDefault="00B655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SANÇÕES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a serem adapta</w:t>
      </w:r>
      <w:r>
        <w:rPr>
          <w:color w:val="FF0000"/>
          <w:sz w:val="24"/>
          <w:szCs w:val="24"/>
          <w:u w:val="single"/>
        </w:rPr>
        <w:t>das em cada caso, conforme orientações Seaju – vide processo 0005713-90 – documento 5719118</w:t>
      </w:r>
      <w:r>
        <w:rPr>
          <w:color w:val="FF0000"/>
          <w:sz w:val="24"/>
          <w:szCs w:val="24"/>
        </w:rPr>
        <w:t>)</w:t>
      </w: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lastRenderedPageBreak/>
        <w:t>Com fundamento nos artigos 86 e 87 da Lei n. 8.666/93, a CONTRATADA ficará sujeita à aplicação das seguintes penalidades:</w:t>
      </w: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>a) advertência;</w:t>
      </w: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 xml:space="preserve">b) multa de: </w:t>
      </w: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 xml:space="preserve">   b.1) </w:t>
      </w:r>
      <w:r>
        <w:rPr>
          <w:szCs w:val="24"/>
          <w:highlight w:val="lightGray"/>
        </w:rPr>
        <w:t>1%</w:t>
      </w:r>
      <w:r>
        <w:rPr>
          <w:szCs w:val="24"/>
        </w:rPr>
        <w:t xml:space="preserve"> (um por cento) ao dia sobre o valor contratado, limitada a incidência a </w:t>
      </w:r>
      <w:r>
        <w:rPr>
          <w:szCs w:val="24"/>
          <w:highlight w:val="lightGray"/>
        </w:rPr>
        <w:t>10</w:t>
      </w:r>
      <w:r>
        <w:rPr>
          <w:szCs w:val="24"/>
        </w:rPr>
        <w:t xml:space="preserve"> (dez) dias, </w:t>
      </w:r>
      <w:r>
        <w:rPr>
          <w:szCs w:val="24"/>
          <w:highlight w:val="lightGray"/>
        </w:rPr>
        <w:t>em razão do atraso injustificado</w:t>
      </w:r>
      <w:r>
        <w:rPr>
          <w:szCs w:val="24"/>
        </w:rPr>
        <w:t xml:space="preserve"> na execução</w:t>
      </w:r>
      <w:r>
        <w:rPr>
          <w:color w:val="FF0000"/>
          <w:szCs w:val="24"/>
        </w:rPr>
        <w:t xml:space="preserve"> do objeto contratado </w:t>
      </w:r>
      <w:r>
        <w:rPr>
          <w:szCs w:val="24"/>
        </w:rPr>
        <w:t>, ou descumprimento dos prazos estabelecidos pela Administração para apresentação de documentos;</w:t>
      </w: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 xml:space="preserve">   b.</w:t>
      </w:r>
      <w:r>
        <w:rPr>
          <w:szCs w:val="24"/>
        </w:rPr>
        <w:t xml:space="preserve">2) 15% sobre o valor contratado, </w:t>
      </w:r>
      <w:r>
        <w:rPr>
          <w:szCs w:val="24"/>
          <w:highlight w:val="lightGray"/>
        </w:rPr>
        <w:t>em caso de inexecução parcial</w:t>
      </w:r>
      <w:r>
        <w:rPr>
          <w:szCs w:val="24"/>
        </w:rPr>
        <w:t xml:space="preserve">, suspensão ou interrupção da entrega do objeto, salvo por motivo de força maior ou caso fortuito; </w:t>
      </w:r>
      <w:r>
        <w:rPr>
          <w:szCs w:val="24"/>
          <w:highlight w:val="yellow"/>
        </w:rPr>
        <w:t xml:space="preserve">Ou, por exemplo, 20% sobre o valor inadimplido da contratação, por inexecução parcial </w:t>
      </w:r>
      <w:r>
        <w:rPr>
          <w:szCs w:val="24"/>
          <w:highlight w:val="yellow"/>
        </w:rPr>
        <w:t>(discriminar hipóteses);</w:t>
      </w: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 xml:space="preserve">   b.3) 20% sobre o valor contratado, </w:t>
      </w:r>
      <w:r>
        <w:rPr>
          <w:szCs w:val="24"/>
          <w:highlight w:val="lightGray"/>
        </w:rPr>
        <w:t>em caso de inexecução total</w:t>
      </w:r>
      <w:r>
        <w:rPr>
          <w:szCs w:val="24"/>
        </w:rPr>
        <w:t xml:space="preserve"> da obrigação assumida;</w:t>
      </w: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>c) suspensão de participar de licitação e impedimento de contratar com a Justiça Federal de Primeiro Grau em Minas Gerais pelo prazo de até 02</w:t>
      </w:r>
      <w:r>
        <w:rPr>
          <w:szCs w:val="24"/>
        </w:rPr>
        <w:t xml:space="preserve"> (dois) anos;</w:t>
      </w: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>d) declaração de inidoneidade para licitar ou contratar com a Administração Pública.</w:t>
      </w:r>
    </w:p>
    <w:p w:rsidR="00DF3E82" w:rsidRDefault="00DF3E82">
      <w:pPr>
        <w:pStyle w:val="Corpodetexto3"/>
        <w:rPr>
          <w:szCs w:val="24"/>
        </w:rPr>
      </w:pPr>
    </w:p>
    <w:p w:rsidR="00DF3E82" w:rsidRDefault="00B65509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  <w:lang w:eastAsia="pt-BR"/>
        </w:rPr>
        <w:t>(A sanção de multa, descrita no item b e subitens, pode ser de duas naturezas: mora - atraso injustificado, caso do subitem b.1; ou inexecução do objeto, qu</w:t>
      </w:r>
      <w:r>
        <w:rPr>
          <w:color w:val="FF0000"/>
          <w:sz w:val="24"/>
          <w:szCs w:val="24"/>
          <w:lang w:eastAsia="pt-BR"/>
        </w:rPr>
        <w:t>e poderá ser parcial, ou total. A SEAJU orienta que a multa seja fixada considerando-se cada situação em concreto, ao invés de se estipular o mesmo montante em todo e qualquer Projeto Básico/Termo de Referência. Isso é importante porque, a depender da situ</w:t>
      </w:r>
      <w:r>
        <w:rPr>
          <w:color w:val="FF0000"/>
          <w:sz w:val="24"/>
          <w:szCs w:val="24"/>
          <w:lang w:eastAsia="pt-BR"/>
        </w:rPr>
        <w:t>ação,</w:t>
      </w:r>
      <w:r>
        <w:rPr>
          <w:b/>
          <w:bCs/>
          <w:color w:val="FF0000"/>
          <w:sz w:val="24"/>
          <w:szCs w:val="24"/>
          <w:highlight w:val="yellow"/>
          <w:lang w:eastAsia="pt-BR"/>
        </w:rPr>
        <w:t xml:space="preserve"> a multa por atraso pode acabar sendo superior à multa por inexecução parcial do objeto,</w:t>
      </w:r>
      <w:r>
        <w:rPr>
          <w:color w:val="FF0000"/>
          <w:sz w:val="24"/>
          <w:szCs w:val="24"/>
          <w:lang w:eastAsia="pt-BR"/>
        </w:rPr>
        <w:t xml:space="preserve"> o que pode ser inócuo e servir de desestímulo ao contratado que, percebendo que ao adimplir uma prestação com atraso pagará uma multa maior do que pagaria se simp</w:t>
      </w:r>
      <w:r>
        <w:rPr>
          <w:color w:val="FF0000"/>
          <w:sz w:val="24"/>
          <w:szCs w:val="24"/>
          <w:lang w:eastAsia="pt-BR"/>
        </w:rPr>
        <w:t>lesmente deixasse de entregar o objeto por inteiro. Nesse caso, pela segunda opção, o contratado pagaria uma multa menor, causando um prejuízo maior para a Administração. Dessa forma, a multa, cujo escopo é estimular o contratado a respeitar o contrato, nã</w:t>
      </w:r>
      <w:r>
        <w:rPr>
          <w:color w:val="FF0000"/>
          <w:sz w:val="24"/>
          <w:szCs w:val="24"/>
          <w:lang w:eastAsia="pt-BR"/>
        </w:rPr>
        <w:t>o atingirá a sua finalidade).</w:t>
      </w:r>
    </w:p>
    <w:p w:rsidR="00DF3E82" w:rsidRDefault="00DF3E82">
      <w:pPr>
        <w:pStyle w:val="Corpodetexto3"/>
        <w:rPr>
          <w:szCs w:val="24"/>
        </w:rPr>
      </w:pP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>§ 1º: Caso a CONTRATADA não possa cumprir os prazos estipulados para a execução do objeto, deverá apresentar justificativa por escrito, nos termos previstos nos incisos II e V, do Parágrafo Primeiro do art. 57 da Lei nº 8.666</w:t>
      </w:r>
      <w:r>
        <w:rPr>
          <w:szCs w:val="24"/>
        </w:rPr>
        <w:t xml:space="preserve">/93, até o vencimento destes prazos, ficando a critério da CONTRATANTE a sua aceitação. </w:t>
      </w: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>§ 2º: Vencido(s) o(s) prazo(s) citado(s) no parágrafo anterior, e não sendo apresentada a justificativa, considerar-se-á a recusa, sendo aplicadas à CONTRATADA as sanç</w:t>
      </w:r>
      <w:r>
        <w:rPr>
          <w:szCs w:val="24"/>
        </w:rPr>
        <w:t xml:space="preserve">ões previstas no caput desta Cláusula, cumulativamente ou não. </w:t>
      </w: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 xml:space="preserve">§ 3º: As penalidades serão obrigatoriamente precedidas do devido processo legal. </w:t>
      </w: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>§ 4º: O valor da multa eventualmente aplicada será notificado à CONTRATADA e será descontado do próximo pagame</w:t>
      </w:r>
      <w:r>
        <w:rPr>
          <w:szCs w:val="24"/>
        </w:rPr>
        <w:t>nto devido pela CONTRATANTE ou, caso a CONTRATADA não possua crédito a receber, terá esta o prazo de 05 (cinco) dias úteis, após a notificação, para efetuar o recolhimento da multa por meio de G.R.U. (Guia de Recolhimento da União), sob pena de cobrança ju</w:t>
      </w:r>
      <w:r>
        <w:rPr>
          <w:szCs w:val="24"/>
        </w:rPr>
        <w:t xml:space="preserve">dicial. </w:t>
      </w:r>
    </w:p>
    <w:p w:rsidR="00DF3E82" w:rsidRDefault="00B65509">
      <w:pPr>
        <w:pStyle w:val="Corpodetexto3"/>
        <w:rPr>
          <w:szCs w:val="24"/>
        </w:rPr>
      </w:pPr>
      <w:r>
        <w:rPr>
          <w:szCs w:val="24"/>
        </w:rPr>
        <w:t>§ 5º: As sanções previstas nas alíneas "a", "c" e "d" desta cláusula poderão ser aplicadas, cumulativamente ou não, à pena de multa, sem prejuízo das demais cominações legais;</w:t>
      </w:r>
    </w:p>
    <w:p w:rsidR="00DF3E82" w:rsidRDefault="00DF3E82">
      <w:pPr>
        <w:pStyle w:val="Corpodetexto3"/>
        <w:rPr>
          <w:szCs w:val="24"/>
        </w:rPr>
      </w:pPr>
    </w:p>
    <w:p w:rsidR="00DF3E82" w:rsidRDefault="00B65509">
      <w:pPr>
        <w:jc w:val="both"/>
        <w:rPr>
          <w:sz w:val="24"/>
          <w:szCs w:val="24"/>
        </w:rPr>
      </w:pPr>
      <w:r>
        <w:rPr>
          <w:sz w:val="24"/>
          <w:szCs w:val="24"/>
          <w:lang w:eastAsia="pt-BR"/>
        </w:rPr>
        <w:t>7) CUSTO</w:t>
      </w:r>
    </w:p>
    <w:p w:rsidR="00DF3E82" w:rsidRDefault="00B65509">
      <w:pPr>
        <w:widowControl w:val="0"/>
        <w:rPr>
          <w:sz w:val="24"/>
          <w:szCs w:val="24"/>
        </w:rPr>
      </w:pPr>
      <w:r>
        <w:rPr>
          <w:bCs/>
          <w:sz w:val="24"/>
          <w:szCs w:val="24"/>
          <w:lang w:eastAsia="pt-BR"/>
        </w:rPr>
        <w:t>Valores orçados anexados aos autos.</w:t>
      </w:r>
    </w:p>
    <w:p w:rsidR="00DF3E82" w:rsidRDefault="00DF3E82">
      <w:pPr>
        <w:widowControl w:val="0"/>
        <w:rPr>
          <w:bCs/>
          <w:sz w:val="24"/>
          <w:szCs w:val="24"/>
          <w:lang w:eastAsia="pt-BR"/>
        </w:rPr>
      </w:pPr>
    </w:p>
    <w:p w:rsidR="00DF3E82" w:rsidRDefault="00B65509">
      <w:pPr>
        <w:widowControl w:val="0"/>
      </w:pPr>
      <w:r>
        <w:rPr>
          <w:bCs/>
          <w:sz w:val="24"/>
          <w:szCs w:val="24"/>
          <w:lang w:eastAsia="pt-BR"/>
        </w:rPr>
        <w:t xml:space="preserve">8) </w:t>
      </w:r>
      <w:r>
        <w:rPr>
          <w:rStyle w:val="nfase"/>
          <w:bCs/>
          <w:i w:val="0"/>
          <w:color w:val="000000"/>
          <w:sz w:val="24"/>
          <w:szCs w:val="24"/>
          <w:lang w:eastAsia="pt-BR"/>
        </w:rPr>
        <w:t>PROTEÇÃO DE DADOS</w:t>
      </w:r>
    </w:p>
    <w:p w:rsidR="00DF3E82" w:rsidRDefault="00B65509">
      <w:pPr>
        <w:pStyle w:val="Corpodetexto"/>
        <w:spacing w:before="80" w:after="80"/>
        <w:jc w:val="both"/>
      </w:pPr>
      <w:r>
        <w:rPr>
          <w:rStyle w:val="nfase"/>
          <w:bCs/>
          <w:i w:val="0"/>
          <w:color w:val="000000"/>
          <w:sz w:val="24"/>
          <w:szCs w:val="24"/>
          <w:lang w:eastAsia="pt-BR"/>
        </w:rPr>
        <w:t>8.</w:t>
      </w:r>
      <w:r>
        <w:rPr>
          <w:rStyle w:val="nfase"/>
          <w:i w:val="0"/>
          <w:color w:val="000000"/>
          <w:sz w:val="24"/>
          <w:szCs w:val="24"/>
        </w:rPr>
        <w:t>1</w:t>
      </w:r>
      <w:r>
        <w:rPr>
          <w:rStyle w:val="nfase"/>
          <w:i w:val="0"/>
          <w:color w:val="000000"/>
          <w:sz w:val="24"/>
          <w:szCs w:val="24"/>
        </w:rPr>
        <w:t xml:space="preserve"> – Na execução do objeto, devem ser observados os ditames da Lei 13.709/2018 (Lei Geral de Proteção de Dados) – LGPD, notadamente os relativos às medidas de segurança e controle para proteção dos dados pessoais a que tiver acesso mercê da relação jurídica </w:t>
      </w:r>
      <w:r>
        <w:rPr>
          <w:rStyle w:val="nfase"/>
          <w:i w:val="0"/>
          <w:color w:val="000000"/>
          <w:sz w:val="24"/>
          <w:szCs w:val="24"/>
        </w:rPr>
        <w:t>estabelecida, mediante adoção de boas práticas e de mecanismos eficazes que evitem acessos não autorizados, situações acidentais ou ilícitas de destruição, perda, alteração, comunicação ou qualquer forma de tratamento inadequado ou ilícito de dados.</w:t>
      </w:r>
    </w:p>
    <w:p w:rsidR="00DF3E82" w:rsidRDefault="00B65509">
      <w:pPr>
        <w:pStyle w:val="Corpodetexto"/>
        <w:spacing w:before="80" w:after="80"/>
        <w:jc w:val="both"/>
      </w:pPr>
      <w:r>
        <w:rPr>
          <w:rStyle w:val="nfase"/>
          <w:bCs/>
          <w:i w:val="0"/>
          <w:color w:val="000000"/>
          <w:sz w:val="24"/>
          <w:szCs w:val="24"/>
          <w:lang w:eastAsia="pt-BR"/>
        </w:rPr>
        <w:lastRenderedPageBreak/>
        <w:t>8.</w:t>
      </w:r>
      <w:r>
        <w:rPr>
          <w:rStyle w:val="nfase"/>
          <w:i w:val="0"/>
          <w:color w:val="000000"/>
          <w:sz w:val="24"/>
          <w:szCs w:val="24"/>
        </w:rPr>
        <w:t xml:space="preserve">2 – </w:t>
      </w:r>
      <w:r>
        <w:rPr>
          <w:rStyle w:val="nfase"/>
          <w:i w:val="0"/>
          <w:color w:val="000000"/>
          <w:sz w:val="24"/>
          <w:szCs w:val="24"/>
        </w:rPr>
        <w:t>A contratada obriga-se a dar conhecimento formal a seus prepostos, empregados ou colaboradores das disposições relacionadas à proteção de dados e a informações sigilosas, na forma da Lei 13.709/2018 (LGPD), da Resolução/ CNJ 363/2021 e da Lei 12.527/2011.</w:t>
      </w:r>
    </w:p>
    <w:p w:rsidR="00DF3E82" w:rsidRDefault="00B65509">
      <w:pPr>
        <w:pStyle w:val="Corpodetexto"/>
        <w:spacing w:before="80" w:after="80"/>
        <w:jc w:val="both"/>
      </w:pPr>
      <w:r>
        <w:rPr>
          <w:rStyle w:val="nfase"/>
          <w:bCs/>
          <w:i w:val="0"/>
          <w:color w:val="000000"/>
          <w:sz w:val="24"/>
          <w:szCs w:val="24"/>
          <w:lang w:eastAsia="pt-BR"/>
        </w:rPr>
        <w:t>8.</w:t>
      </w:r>
      <w:r>
        <w:rPr>
          <w:rStyle w:val="nfase"/>
          <w:i w:val="0"/>
          <w:color w:val="000000"/>
          <w:sz w:val="24"/>
          <w:szCs w:val="24"/>
        </w:rPr>
        <w:t>2.1 – Obriga-se também a comunicar à Administração, em até 24 (vinte e quatro) horas, contadas do instante do conhecimento, a ocorrência de acessos não autorizados a dados pessoais, de situações acidentais ou ilícitas de destruição, perda, alteração, com</w:t>
      </w:r>
      <w:r>
        <w:rPr>
          <w:rStyle w:val="nfase"/>
          <w:i w:val="0"/>
          <w:color w:val="000000"/>
          <w:sz w:val="24"/>
          <w:szCs w:val="24"/>
        </w:rPr>
        <w:t>unicação ou de qualquer outra forma de tratamento inadequado, suspeito ou ilícito, sem prejuízo das medidas previstas no art. 48 da Lei 13.709/2018 (LGPD).</w:t>
      </w:r>
    </w:p>
    <w:p w:rsidR="00DF3E82" w:rsidRDefault="00B65509">
      <w:pPr>
        <w:pStyle w:val="Corpodetexto"/>
        <w:spacing w:before="80" w:after="80"/>
        <w:jc w:val="both"/>
      </w:pPr>
      <w:r>
        <w:rPr>
          <w:rStyle w:val="nfase"/>
          <w:bCs/>
          <w:i w:val="0"/>
          <w:color w:val="000000"/>
          <w:sz w:val="24"/>
          <w:szCs w:val="24"/>
          <w:lang w:eastAsia="pt-BR"/>
        </w:rPr>
        <w:t>8.</w:t>
      </w:r>
      <w:r>
        <w:rPr>
          <w:rStyle w:val="nfase"/>
          <w:i w:val="0"/>
          <w:color w:val="000000"/>
          <w:sz w:val="24"/>
          <w:szCs w:val="24"/>
        </w:rPr>
        <w:t>3 – O tratamento de dados pessoais dar-se-á de acordo com os princípios e as hipóteses previstas n</w:t>
      </w:r>
      <w:r>
        <w:rPr>
          <w:rStyle w:val="nfase"/>
          <w:i w:val="0"/>
          <w:color w:val="000000"/>
          <w:sz w:val="24"/>
          <w:szCs w:val="24"/>
        </w:rPr>
        <w:t>os arts. 6º, 7º e 11 da Lei 13.709/2018 (LGPD), limitado ao estritamente necessário à consecução do objeto, na forma deste instrumento e seus anexos.</w:t>
      </w:r>
    </w:p>
    <w:p w:rsidR="00DF3E82" w:rsidRDefault="00B65509">
      <w:pPr>
        <w:pStyle w:val="Corpodetexto"/>
        <w:spacing w:before="80" w:after="80"/>
        <w:jc w:val="both"/>
      </w:pPr>
      <w:r>
        <w:rPr>
          <w:rStyle w:val="nfase"/>
          <w:i w:val="0"/>
          <w:color w:val="000000"/>
          <w:sz w:val="24"/>
          <w:szCs w:val="24"/>
        </w:rPr>
        <w:t>8.3.1 – Para os fins de publicidade e transparência ativa sobre as contratações da Seccional, adota-se o e</w:t>
      </w:r>
      <w:r>
        <w:rPr>
          <w:rStyle w:val="nfase"/>
          <w:i w:val="0"/>
          <w:color w:val="000000"/>
          <w:sz w:val="24"/>
          <w:szCs w:val="24"/>
        </w:rPr>
        <w:t>ntendimento do Parecer n. 00295/2020/CONJUR-CGU/CGU/AGU (</w:t>
      </w:r>
      <w:hyperlink r:id="rId9" w:tgtFrame="_blank">
        <w:r>
          <w:rPr>
            <w:rStyle w:val="LinkdaInternet"/>
            <w:color w:val="000000"/>
            <w:sz w:val="24"/>
            <w:szCs w:val="24"/>
          </w:rPr>
          <w:t>Parecer_295_2020_CONJUR_CGU_CGU_AGU.pdf</w:t>
        </w:r>
      </w:hyperlink>
      <w:r>
        <w:rPr>
          <w:color w:val="000000"/>
          <w:sz w:val="24"/>
          <w:szCs w:val="24"/>
        </w:rPr>
        <w:t>), </w:t>
      </w:r>
      <w:r>
        <w:rPr>
          <w:rStyle w:val="nfase"/>
          <w:i w:val="0"/>
          <w:color w:val="000000"/>
          <w:sz w:val="24"/>
          <w:szCs w:val="24"/>
        </w:rPr>
        <w:t xml:space="preserve">segundo o qual tratamento de dados </w:t>
      </w:r>
      <w:r>
        <w:rPr>
          <w:rStyle w:val="nfase"/>
          <w:i w:val="0"/>
          <w:color w:val="000000"/>
          <w:sz w:val="24"/>
          <w:szCs w:val="24"/>
        </w:rPr>
        <w:t>na contratação de microempreendedor individual (MEI) contempla a divulgação de nome da pessoa física e do CPF, por serem dados que compõem, obrigatoriamente, a identificação empresarial. </w:t>
      </w:r>
    </w:p>
    <w:p w:rsidR="00DF3E82" w:rsidRDefault="00B65509">
      <w:pPr>
        <w:pStyle w:val="Corpodetexto"/>
        <w:spacing w:before="80" w:after="80"/>
        <w:jc w:val="both"/>
      </w:pPr>
      <w:r>
        <w:rPr>
          <w:rStyle w:val="nfase"/>
          <w:bCs/>
          <w:i w:val="0"/>
          <w:color w:val="000000"/>
          <w:sz w:val="24"/>
          <w:szCs w:val="24"/>
          <w:lang w:eastAsia="pt-BR"/>
        </w:rPr>
        <w:t>8.</w:t>
      </w:r>
      <w:r>
        <w:rPr>
          <w:rStyle w:val="nfase"/>
          <w:i w:val="0"/>
          <w:color w:val="000000"/>
          <w:sz w:val="24"/>
          <w:szCs w:val="24"/>
        </w:rPr>
        <w:t xml:space="preserve">4 – É vedado, na execução do ajuste, revelar, copiar, transmitir, </w:t>
      </w:r>
      <w:r>
        <w:rPr>
          <w:rStyle w:val="nfase"/>
          <w:i w:val="0"/>
          <w:color w:val="000000"/>
          <w:sz w:val="24"/>
          <w:szCs w:val="24"/>
        </w:rPr>
        <w:t>reproduzir, transportar ou utilizar dados pessoais ou informações sigilosas a que tiver acesso prepostos, empregados ou colaboradores direta ou indiretamente envolvidos na realização de serviços, produção ou fornecimento de bens. Para tanto, devem ser obse</w:t>
      </w:r>
      <w:r>
        <w:rPr>
          <w:rStyle w:val="nfase"/>
          <w:i w:val="0"/>
          <w:color w:val="000000"/>
          <w:sz w:val="24"/>
          <w:szCs w:val="24"/>
        </w:rPr>
        <w:t>rvados as medidas e os procedimentos de segurança das informações resultantes da aplicação da Lei 13.709/2018 (LGPD) e do parágrafo único do art. 26 da Lei 12.527/2011.</w:t>
      </w:r>
    </w:p>
    <w:p w:rsidR="00DF3E82" w:rsidRDefault="00B65509">
      <w:pPr>
        <w:pStyle w:val="Corpodetexto"/>
        <w:spacing w:before="80" w:after="80"/>
        <w:jc w:val="both"/>
      </w:pPr>
      <w:r>
        <w:rPr>
          <w:rStyle w:val="nfase"/>
          <w:bCs/>
          <w:i w:val="0"/>
          <w:color w:val="000000"/>
          <w:sz w:val="24"/>
          <w:szCs w:val="24"/>
          <w:lang w:eastAsia="pt-BR"/>
        </w:rPr>
        <w:t>8.</w:t>
      </w:r>
      <w:r>
        <w:rPr>
          <w:rStyle w:val="nfase"/>
          <w:i w:val="0"/>
          <w:color w:val="000000"/>
          <w:sz w:val="24"/>
          <w:szCs w:val="24"/>
        </w:rPr>
        <w:t xml:space="preserve">5. – Em razão do vínculo mantido, na hipótese de dano patrimonial, moral, individual </w:t>
      </w:r>
      <w:r>
        <w:rPr>
          <w:rStyle w:val="nfase"/>
          <w:i w:val="0"/>
          <w:color w:val="000000"/>
          <w:sz w:val="24"/>
          <w:szCs w:val="24"/>
        </w:rPr>
        <w:t>ou coletivo decorrente de violação à legislação de proteção de dados pessoais ou de indevido acesso a informações sigilosas ou transmissão destas por qualquer meio, a responsabilização dar-se-á na forma da Lei 13.709/2018 (LGPD) e da Lei 12.527/2011.</w:t>
      </w:r>
    </w:p>
    <w:p w:rsidR="00DF3E82" w:rsidRDefault="00B65509">
      <w:pPr>
        <w:pStyle w:val="Corpodetexto"/>
        <w:spacing w:before="80" w:after="80"/>
        <w:jc w:val="both"/>
      </w:pPr>
      <w:r>
        <w:rPr>
          <w:rStyle w:val="nfase"/>
          <w:bCs/>
          <w:i w:val="0"/>
          <w:color w:val="000000"/>
          <w:sz w:val="24"/>
          <w:szCs w:val="24"/>
          <w:lang w:eastAsia="pt-BR"/>
        </w:rPr>
        <w:t>8.</w:t>
      </w:r>
      <w:r>
        <w:rPr>
          <w:rStyle w:val="nfase"/>
          <w:i w:val="0"/>
          <w:color w:val="000000"/>
          <w:sz w:val="24"/>
          <w:szCs w:val="24"/>
        </w:rPr>
        <w:t>6 –</w:t>
      </w:r>
      <w:r>
        <w:rPr>
          <w:rStyle w:val="nfase"/>
          <w:i w:val="0"/>
          <w:color w:val="000000"/>
          <w:sz w:val="24"/>
          <w:szCs w:val="24"/>
        </w:rPr>
        <w:t xml:space="preserve"> Extinto o ajuste ou alcançado o objeto que encerre tratamento de dados, estes serão eliminados, inclusive toda e qualquer cópia deles porventura existente, seja em formato físico ou digital, autorizada a conservação conforme as hipóteses previstas no art.</w:t>
      </w:r>
      <w:r>
        <w:rPr>
          <w:rStyle w:val="nfase"/>
          <w:i w:val="0"/>
          <w:color w:val="000000"/>
          <w:sz w:val="24"/>
          <w:szCs w:val="24"/>
        </w:rPr>
        <w:t xml:space="preserve"> 16 da Lei 13.709/2018 (LGPD).</w:t>
      </w:r>
    </w:p>
    <w:p w:rsidR="00DF3E82" w:rsidRDefault="00B65509">
      <w:pPr>
        <w:pStyle w:val="Corpodetexto"/>
        <w:spacing w:before="80" w:after="80"/>
        <w:jc w:val="both"/>
      </w:pPr>
      <w:r>
        <w:rPr>
          <w:rStyle w:val="nfase"/>
          <w:bCs/>
          <w:i w:val="0"/>
          <w:color w:val="000000"/>
          <w:sz w:val="24"/>
          <w:szCs w:val="24"/>
          <w:lang w:eastAsia="pt-BR"/>
        </w:rPr>
        <w:t>8.</w:t>
      </w:r>
      <w:r>
        <w:rPr>
          <w:rStyle w:val="nfase"/>
          <w:i w:val="0"/>
          <w:color w:val="000000"/>
          <w:sz w:val="24"/>
          <w:szCs w:val="24"/>
        </w:rPr>
        <w:t>7 A atuação da Seccional em relação aos dados pessoais dos contratados será regida pela Política de Proteção de Dados Pessoais – PPDP da Justiça Federal da 1ª Região, nos termos da Resolução PRESI 49/2021 (</w:t>
      </w:r>
      <w:hyperlink r:id="rId10" w:tgtFrame="_blank">
        <w:r>
          <w:rPr>
            <w:rStyle w:val="LinkdaInternet"/>
            <w:iCs/>
            <w:color w:val="000000"/>
            <w:sz w:val="24"/>
            <w:szCs w:val="24"/>
          </w:rPr>
          <w:t>TRF1 - Resolução institui a Política de Proteção de D</w:t>
        </w:r>
        <w:r>
          <w:rPr>
            <w:rStyle w:val="LinkdaInternet"/>
            <w:iCs/>
            <w:color w:val="000000"/>
            <w:sz w:val="24"/>
            <w:szCs w:val="24"/>
          </w:rPr>
          <w:t>ados Pessoais (PPDP) a ser adotada pela Justiça Federal da 1ª Região</w:t>
        </w:r>
      </w:hyperlink>
      <w:r>
        <w:rPr>
          <w:rStyle w:val="nfase"/>
          <w:i w:val="0"/>
          <w:color w:val="000000"/>
          <w:sz w:val="24"/>
          <w:szCs w:val="24"/>
        </w:rPr>
        <w:t>), notadamente pelos Art. 3º, 10, 11, 13 e 17, sem prejuízo da transparência ativa imposta pela legislação vigente.</w:t>
      </w:r>
    </w:p>
    <w:p w:rsidR="00DF3E82" w:rsidRDefault="00DF3E82">
      <w:pPr>
        <w:widowControl w:val="0"/>
        <w:rPr>
          <w:sz w:val="24"/>
          <w:szCs w:val="24"/>
        </w:rPr>
      </w:pPr>
    </w:p>
    <w:sectPr w:rsidR="00DF3E82">
      <w:headerReference w:type="default" r:id="rId11"/>
      <w:pgSz w:w="11906" w:h="16838"/>
      <w:pgMar w:top="1134" w:right="1134" w:bottom="567" w:left="170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09" w:rsidRDefault="00B65509">
      <w:r>
        <w:separator/>
      </w:r>
    </w:p>
  </w:endnote>
  <w:endnote w:type="continuationSeparator" w:id="0">
    <w:p w:rsidR="00B65509" w:rsidRDefault="00B6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09" w:rsidRDefault="00B65509">
      <w:r>
        <w:separator/>
      </w:r>
    </w:p>
  </w:footnote>
  <w:footnote w:type="continuationSeparator" w:id="0">
    <w:p w:rsidR="00B65509" w:rsidRDefault="00B6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82" w:rsidRDefault="00B65509">
    <w:pPr>
      <w:pStyle w:val="Cabealho"/>
      <w:ind w:left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</w:t>
    </w:r>
    <w:r>
      <w:rPr>
        <w:rFonts w:ascii="Times New Roman" w:hAnsi="Times New Roman" w:cs="Times New Roman"/>
        <w:sz w:val="24"/>
        <w:szCs w:val="24"/>
      </w:rPr>
      <w:t>odelo 1 – Termo de Referência</w:t>
    </w:r>
  </w:p>
  <w:p w:rsidR="00DF3E82" w:rsidRDefault="00DF3E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82"/>
    <w:rsid w:val="00B65509"/>
    <w:rsid w:val="00D53423"/>
    <w:rsid w:val="00D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71849-BCF4-4AF4-9E87-CF76152F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A1A"/>
    <w:rPr>
      <w:rFonts w:ascii="Times New Roman" w:eastAsia="Times New Roman" w:hAnsi="Times New Roman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76D52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776D5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76D52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660A1A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518FA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qFormat/>
    <w:rsid w:val="00551C88"/>
    <w:rPr>
      <w:i/>
      <w:iCs/>
    </w:rPr>
  </w:style>
  <w:style w:type="character" w:customStyle="1" w:styleId="LinkdaInternet">
    <w:name w:val="Link da Internet"/>
    <w:rsid w:val="00551C88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551C8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8FA"/>
    <w:pPr>
      <w:spacing w:after="120"/>
    </w:pPr>
  </w:style>
  <w:style w:type="paragraph" w:styleId="Lista">
    <w:name w:val="List"/>
    <w:basedOn w:val="Corpodetexto"/>
    <w:rsid w:val="00551C88"/>
    <w:rPr>
      <w:rFonts w:cs="Lucida Sans"/>
    </w:rPr>
  </w:style>
  <w:style w:type="paragraph" w:styleId="Legenda">
    <w:name w:val="caption"/>
    <w:basedOn w:val="Normal"/>
    <w:qFormat/>
    <w:rsid w:val="00551C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51C88"/>
    <w:pPr>
      <w:suppressLineNumbers/>
    </w:pPr>
    <w:rPr>
      <w:rFonts w:cs="Lucida Sans"/>
    </w:rPr>
  </w:style>
  <w:style w:type="paragraph" w:customStyle="1" w:styleId="textojustificadorecuoprimeiralinha">
    <w:name w:val="texto_justificado_recuo_primeira_linha"/>
    <w:basedOn w:val="Normal"/>
    <w:qFormat/>
    <w:rsid w:val="001F0954"/>
    <w:pPr>
      <w:spacing w:beforeAutospacing="1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837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abealhoeRodap">
    <w:name w:val="Cabeçalho e Rodapé"/>
    <w:basedOn w:val="Normal"/>
    <w:qFormat/>
    <w:rsid w:val="00551C88"/>
  </w:style>
  <w:style w:type="paragraph" w:styleId="Cabealho">
    <w:name w:val="header"/>
    <w:basedOn w:val="Normal"/>
    <w:link w:val="CabealhoChar"/>
    <w:uiPriority w:val="99"/>
    <w:unhideWhenUsed/>
    <w:rsid w:val="00776D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776D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76D52"/>
    <w:rPr>
      <w:rFonts w:ascii="Tahoma" w:eastAsiaTheme="minorHAnsi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660A1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rtal.trf1.jus.br/portaltrf1/comunicacao-social/imprensa/avisos/resolucao-institui-a-politica-de-protecao-de-dados-pessoais-ppdp-a-ser-adotada-pela-justica-federal-da-1-regiao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repositorio.cgu.gov.br/bitstream/1/63575/5/Parecer_295_2020_CONJUR_CGU_CGU_AGU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SeoMetaDescription xmlns="ca25c973-33b0-433a-9638-21a6db85babe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UtilizarMenuLateral xmlns="ca25c973-33b0-433a-9638-21a6db85babe">Não</UtilizarMenuLateral>
    <Audience xmlns="http://schemas.microsoft.com/sharepoint/v3" xsi:nil="true"/>
    <PublishingIsFurlPage xmlns="http://schemas.microsoft.com/sharepoint/v3">false</PublishingIsFurlPage>
    <RobotsNoIndex xmlns="ca25c973-33b0-433a-9638-21a6db85babe">false</RobotsNoIndex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SeoBrowserTitle xmlns="ca25c973-33b0-433a-9638-21a6db85babe" xsi:nil="true"/>
    <PublishingStartDate xmlns="http://schemas.microsoft.com/sharepoint/v3" xsi:nil="true"/>
    <VideoTipo xmlns="ca25c973-33b0-433a-9638-21a6db85babe">Nenhum</VideoTipo>
    <SeoKeywords xmlns="ca25c973-33b0-433a-9638-21a6db85babe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VideoFonte xmlns="ca25c973-33b0-433a-9638-21a6db85babe" xsi:nil="true"/>
    <ConteudoInferior xmlns="ca25c973-33b0-433a-9638-21a6db85babe" xsi:nil="true"/>
    <Comments xmlns="http://schemas.microsoft.com/sharepoint/v3" xsi:nil="true"/>
    <IconeInstitucional xmlns="ca25c973-33b0-433a-9638-21a6db85babe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ágina de Conteúdo Simples" ma:contentTypeID="0x010100C568DB52D9D0A14D9B2FDCC96666E9F2007948130EC3DB064584E219954237AF39003498497621245F498F8F2128D129010D009FBD5846DE89394280C3C224FFDE5198" ma:contentTypeVersion="24" ma:contentTypeDescription="Utilize este tipo de conteúdo para criar páginas de conteúdo simples" ma:contentTypeScope="" ma:versionID="503d8e8c625eabcf30e194082a4df040">
  <xsd:schema xmlns:xsd="http://www.w3.org/2001/XMLSchema" xmlns:xs="http://www.w3.org/2001/XMLSchema" xmlns:p="http://schemas.microsoft.com/office/2006/metadata/properties" xmlns:ns1="http://schemas.microsoft.com/sharepoint/v3" xmlns:ns2="ca25c973-33b0-433a-9638-21a6db85babe" xmlns:ns3="6c9c95e2-d689-464a-98f9-13d237724238" targetNamespace="http://schemas.microsoft.com/office/2006/metadata/properties" ma:root="true" ma:fieldsID="76c03719479a3754c9a6753d4454cf01" ns1:_="" ns2:_="" ns3:_="">
    <xsd:import namespace="http://schemas.microsoft.com/sharepoint/v3"/>
    <xsd:import namespace="ca25c973-33b0-433a-9638-21a6db85babe"/>
    <xsd:import namespace="6c9c95e2-d689-464a-98f9-13d237724238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PublishingIsFurlPage" minOccurs="0"/>
                <xsd:element ref="ns2:IconeInstitucional" minOccurs="0"/>
                <xsd:element ref="ns2:VideoTipo" minOccurs="0"/>
                <xsd:element ref="ns2:VideoFonte" minOccurs="0"/>
                <xsd:element ref="ns2:ConteudoInferior" minOccurs="0"/>
                <xsd:element ref="ns2:UtilizarMenuLateral" minOccurs="0"/>
                <xsd:element ref="ns2:SeoBrowserTitle" minOccurs="0"/>
                <xsd:element ref="ns2:SeoMetaDescription" minOccurs="0"/>
                <xsd:element ref="ns2:SeoKeywords" minOccurs="0"/>
                <xsd:element ref="ns2:RobotsNoIndex" minOccurs="0"/>
                <xsd:element ref="ns1:PublishingPageLayout" minOccurs="0"/>
                <xsd:element ref="ns1:PublishingExpirationDate" minOccurs="0"/>
                <xsd:element ref="ns1:PublishingVariationGroupID" minOccurs="0"/>
                <xsd:element ref="ns1:PublishingVariationRelationshipLinkFieldID" minOccurs="0"/>
                <xsd:element ref="ns1:PublishingStart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Contact" ma:index="3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4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5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6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7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8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9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PublishingPageLayout" ma:index="24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ExpirationDate" ma:index="2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VariationGroupID" ma:index="27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8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0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c973-33b0-433a-9638-21a6db85babe" elementFormDefault="qualified">
    <xsd:import namespace="http://schemas.microsoft.com/office/2006/documentManagement/types"/>
    <xsd:import namespace="http://schemas.microsoft.com/office/infopath/2007/PartnerControls"/>
    <xsd:element name="IconeInstitucional" ma:index="10" nillable="true" ma:displayName="Ícone Institucional" ma:description="Insira a imagem do cabeçalho desta página" ma:internalName="IconeInstitucional" ma:readOnly="false">
      <xsd:simpleType>
        <xsd:restriction base="dms:Unknown"/>
      </xsd:simpleType>
    </xsd:element>
    <xsd:element name="VideoTipo" ma:index="11" nillable="true" ma:displayName="Tipo de Vídeo" ma:default="Nenhum" ma:description="Define qual é o tipo de incorporação que será realizada na página para a exibição de um vídeo em seu corpo" ma:format="Dropdown" ma:internalName="VideoTipo" ma:readOnly="false">
      <xsd:simpleType>
        <xsd:restriction base="dms:Choice">
          <xsd:enumeration value="Nenhum"/>
          <xsd:enumeration value="Local"/>
          <xsd:enumeration value="Office Stream"/>
          <xsd:enumeration value="Office Videos"/>
          <xsd:enumeration value="Vimeo"/>
          <xsd:enumeration value="Youtube"/>
        </xsd:restriction>
      </xsd:simpleType>
    </xsd:element>
    <xsd:element name="VideoFonte" ma:index="12" nillable="true" ma:displayName="Fonte do Vídeo" ma:description="Endereço web ou código de incorporação do vídeo que será exibido na página." ma:internalName="VideoFonte" ma:readOnly="false">
      <xsd:simpleType>
        <xsd:restriction base="dms:Note">
          <xsd:maxLength value="255"/>
        </xsd:restriction>
      </xsd:simpleType>
    </xsd:element>
    <xsd:element name="ConteudoInferior" ma:index="13" nillable="true" ma:displayName="Conteúdo Inferior" ma:description="Conteúdo Inferior da página, usado em páginas de notícias." ma:internalName="ConteudoInferior" ma:readOnly="false">
      <xsd:simpleType>
        <xsd:restriction base="dms:Unknown"/>
      </xsd:simpleType>
    </xsd:element>
    <xsd:element name="UtilizarMenuLateral" ma:index="14" nillable="true" ma:displayName="Utilizar Menu Lateral" ma:default="Não" ma:description="Informe se a página irá utilizar o recurso de menu lateral." ma:format="Dropdown" ma:internalName="UtilizarMenuLateral" ma:readOnly="false">
      <xsd:simpleType>
        <xsd:restriction base="dms:Choice">
          <xsd:enumeration value="Sim"/>
          <xsd:enumeration value="Não"/>
        </xsd:restriction>
      </xsd:simpleType>
    </xsd:element>
    <xsd:element name="SeoBrowserTitle" ma:index="16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internalName="SeoBrowserTitle" ma:readOnly="false">
      <xsd:simpleType>
        <xsd:restriction base="dms:Text">
          <xsd:maxLength value="255"/>
        </xsd:restriction>
      </xsd:simpleType>
    </xsd:element>
    <xsd:element name="SeoMetaDescription" ma:index="17" nillable="true" ma:displayName="Descrição Meta" ma:description="Descrição Meta é uma coluna de site criada pelo recurso de Publicação. Mecanismos de pesquisa da Internet podem exibir essa descrição em páginas de resultados de pesquisa." ma:internalName="SeoMetaDescription" ma:readOnly="false">
      <xsd:simpleType>
        <xsd:restriction base="dms:Text">
          <xsd:maxLength value="255"/>
        </xsd:restriction>
      </xsd:simpleType>
    </xsd:element>
    <xsd:element name="SeoKeywords" ma:index="18" nillable="true" ma:displayName="Meta Palavras-chave" ma:description="Meta Palavras-chave" ma:internalName="SeoKeywords" ma:readOnly="false">
      <xsd:simpleType>
        <xsd:restriction base="dms:Text">
          <xsd:maxLength value="255"/>
        </xsd:restriction>
      </xsd:simpleType>
    </xsd:element>
    <xsd:element name="RobotsNoIndex" ma:index="19" nillable="true" ma:displayName="Ocultar de Mecanismos de Pesquisa da Internet" ma:default="0" ma:description="Ocultar de Mecanismos de Pesquisa da Internet é uma coluna de site criada pelo recurso de Publicação. Ela é usada para indicar aos rastreadores de mecanismos de pesquisa que uma determinada página não deve ser indexada." ma:internalName="RobotsNoIndex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c95e2-d689-464a-98f9-13d23772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A8E9C-1C1B-4A5C-84C6-647EA811A9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a25c973-33b0-433a-9638-21a6db85babe"/>
  </ds:schemaRefs>
</ds:datastoreItem>
</file>

<file path=customXml/itemProps2.xml><?xml version="1.0" encoding="utf-8"?>
<ds:datastoreItem xmlns:ds="http://schemas.openxmlformats.org/officeDocument/2006/customXml" ds:itemID="{E9372374-B1CC-403F-BE3F-A0AE93D3E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FAD4D-F643-4C38-85A7-51A98B29A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5c973-33b0-433a-9638-21a6db85babe"/>
    <ds:schemaRef ds:uri="6c9c95e2-d689-464a-98f9-13d237724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1641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mg95103</dc:creator>
  <dc:description/>
  <cp:lastModifiedBy>Marcela Junia Emídio do Carmo</cp:lastModifiedBy>
  <cp:revision>2</cp:revision>
  <cp:lastPrinted>2015-05-05T13:47:00Z</cp:lastPrinted>
  <dcterms:created xsi:type="dcterms:W3CDTF">2022-04-29T14:50:00Z</dcterms:created>
  <dcterms:modified xsi:type="dcterms:W3CDTF">2022-04-29T14:50:00Z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0x010100C568DB52D9D0A14D9B2FDCC96666E9F2007948130EC3DB064584E219954237AF39003498497621245F498F8F2128D129010D009FBD5846DE89394280C3C224FFDE5198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axCatchAll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</Properties>
</file>